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0" w:rsidRDefault="008758FA" w:rsidP="0099159F">
      <w:pPr>
        <w:pStyle w:val="Nadpis2"/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-384810</wp:posOffset>
            </wp:positionV>
            <wp:extent cx="1352550" cy="847725"/>
            <wp:effectExtent l="19050" t="0" r="0" b="0"/>
            <wp:wrapNone/>
            <wp:docPr id="2" name="obrázek 2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sr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A8C" w:rsidRDefault="00E93A8C" w:rsidP="0099159F">
      <w:pPr>
        <w:pStyle w:val="Nadpis2"/>
      </w:pPr>
      <w:proofErr w:type="spellStart"/>
      <w:r>
        <w:t>Fasadecorr</w:t>
      </w:r>
      <w:proofErr w:type="spellEnd"/>
      <w:r>
        <w:t xml:space="preserve"> </w:t>
      </w:r>
      <w:r w:rsidR="009E10C2">
        <w:t>silikonizovaný</w:t>
      </w:r>
      <w:r>
        <w:t>– hladká disperzní fasádní barva</w:t>
      </w:r>
    </w:p>
    <w:p w:rsidR="00E93A8C" w:rsidRDefault="00E93A8C" w:rsidP="0099159F">
      <w:pPr>
        <w:pStyle w:val="Nadpis3"/>
      </w:pPr>
      <w:r>
        <w:t>Charakteristika:</w:t>
      </w:r>
    </w:p>
    <w:p w:rsidR="00E93A8C" w:rsidRDefault="00E93A8C">
      <w:r>
        <w:t xml:space="preserve">Hladká disperzní fasádní barva s výbornou </w:t>
      </w:r>
      <w:proofErr w:type="spellStart"/>
      <w:r>
        <w:t>kryvostí</w:t>
      </w:r>
      <w:proofErr w:type="spellEnd"/>
      <w:r>
        <w:t xml:space="preserve"> určená především </w:t>
      </w:r>
      <w:r w:rsidR="00C70659">
        <w:t>pro přetírání hladkých omítek. T</w:t>
      </w:r>
      <w:r>
        <w:t>aké pro přetírání dekorativních omítek, bř</w:t>
      </w:r>
      <w:r>
        <w:t>í</w:t>
      </w:r>
      <w:r>
        <w:t xml:space="preserve">zolitů a betonů. </w:t>
      </w:r>
      <w:proofErr w:type="spellStart"/>
      <w:r w:rsidRPr="005240A0">
        <w:rPr>
          <w:rStyle w:val="proloenChar"/>
          <w:sz w:val="18"/>
          <w:szCs w:val="18"/>
        </w:rPr>
        <w:t>Fasadecorr</w:t>
      </w:r>
      <w:proofErr w:type="spellEnd"/>
      <w:r>
        <w:t xml:space="preserve"> je omyvatelný, plně </w:t>
      </w:r>
      <w:proofErr w:type="spellStart"/>
      <w:r>
        <w:t>otěruvzdorný</w:t>
      </w:r>
      <w:proofErr w:type="spellEnd"/>
      <w:r>
        <w:t xml:space="preserve"> nátěr s charakteristickou dlouhodobou stálostí barevných odstínů a velmi vysokou </w:t>
      </w:r>
      <w:proofErr w:type="spellStart"/>
      <w:r>
        <w:t>přídržností</w:t>
      </w:r>
      <w:proofErr w:type="spellEnd"/>
    </w:p>
    <w:p w:rsidR="00E93A8C" w:rsidRDefault="00E93A8C" w:rsidP="0099159F">
      <w:pPr>
        <w:pStyle w:val="Nadpis3"/>
      </w:pPr>
      <w:r>
        <w:t>Složení:</w:t>
      </w:r>
    </w:p>
    <w:p w:rsidR="00E93A8C" w:rsidRDefault="00E93A8C">
      <w:r>
        <w:t>Vodní disperze makromolekulárních látek s přísadou speciálních aditiv, pigmentů a plniv.</w:t>
      </w:r>
    </w:p>
    <w:p w:rsidR="00E93A8C" w:rsidRDefault="00E93A8C" w:rsidP="0099159F">
      <w:pPr>
        <w:pStyle w:val="Nadpis3"/>
      </w:pPr>
      <w:r>
        <w:t>Použití:</w:t>
      </w:r>
    </w:p>
    <w:p w:rsidR="00E93A8C" w:rsidRDefault="00E93A8C">
      <w:r>
        <w:t>K nátěru zdiva, vápenn</w:t>
      </w:r>
      <w:r w:rsidR="00C70659">
        <w:t xml:space="preserve">ých, </w:t>
      </w:r>
      <w:proofErr w:type="spellStart"/>
      <w:r w:rsidR="00C70659">
        <w:t>vápenocementových</w:t>
      </w:r>
      <w:proofErr w:type="spellEnd"/>
      <w:r w:rsidR="00C70659">
        <w:t xml:space="preserve"> a</w:t>
      </w:r>
      <w:r>
        <w:t xml:space="preserve"> disperzních omítek, betonů, lehčených stavebních hmot, cementopískových, dřevovláknitých, dřevotřískových desek, minerálních podkladů a dále jako konečná povrchová úprava zateplovacích systémů.</w:t>
      </w:r>
    </w:p>
    <w:p w:rsidR="00E93A8C" w:rsidRDefault="00E93A8C" w:rsidP="0099159F">
      <w:pPr>
        <w:pStyle w:val="Nadpis3"/>
      </w:pPr>
      <w:r>
        <w:t>Podklad</w:t>
      </w:r>
    </w:p>
    <w:p w:rsidR="00E93A8C" w:rsidRDefault="00E93A8C" w:rsidP="0099159F">
      <w:r>
        <w:t>Podklad musí být suchý, soudržný, zbavený prachu a nečistot a odizolovaný proti vodě</w:t>
      </w:r>
    </w:p>
    <w:p w:rsidR="00E93A8C" w:rsidRDefault="00E93A8C" w:rsidP="0099159F">
      <w:pPr>
        <w:rPr>
          <w:rStyle w:val="proloenChar"/>
          <w:sz w:val="18"/>
          <w:szCs w:val="18"/>
        </w:rPr>
      </w:pPr>
      <w:r w:rsidRPr="00CC053A">
        <w:rPr>
          <w:rStyle w:val="proloen2Char"/>
          <w:sz w:val="18"/>
          <w:szCs w:val="18"/>
        </w:rPr>
        <w:t>Nové omítky:</w:t>
      </w:r>
      <w:r>
        <w:t xml:space="preserve"> podklad musí výt suchý, dostatečně vyzrálý, zbaven nečistot, prachu a mastnoty oškrabáváním a omytím. Před použitím </w:t>
      </w:r>
      <w:proofErr w:type="spellStart"/>
      <w:r w:rsidR="00774990">
        <w:rPr>
          <w:rStyle w:val="proloenChar"/>
          <w:sz w:val="18"/>
          <w:szCs w:val="18"/>
        </w:rPr>
        <w:t>F</w:t>
      </w:r>
      <w:r w:rsidRPr="00CC053A">
        <w:rPr>
          <w:rStyle w:val="proloenChar"/>
          <w:sz w:val="18"/>
          <w:szCs w:val="18"/>
        </w:rPr>
        <w:t>asadeco</w:t>
      </w:r>
      <w:r>
        <w:rPr>
          <w:rStyle w:val="proloenChar"/>
          <w:sz w:val="18"/>
          <w:szCs w:val="18"/>
        </w:rPr>
        <w:t>r</w:t>
      </w:r>
      <w:r w:rsidRPr="00CC053A">
        <w:rPr>
          <w:rStyle w:val="proloenChar"/>
          <w:sz w:val="18"/>
          <w:szCs w:val="18"/>
        </w:rPr>
        <w:t>r</w:t>
      </w:r>
      <w:proofErr w:type="spellEnd"/>
      <w:r>
        <w:t xml:space="preserve"> se doporučuje podklad penetrovat</w:t>
      </w:r>
      <w:r w:rsidR="00774990">
        <w:t xml:space="preserve"> penetrací</w:t>
      </w:r>
      <w:r>
        <w:t xml:space="preserve"> </w:t>
      </w:r>
      <w:r w:rsidR="00774990">
        <w:rPr>
          <w:rStyle w:val="proloenChar"/>
          <w:sz w:val="18"/>
          <w:szCs w:val="18"/>
        </w:rPr>
        <w:t>PEKO</w:t>
      </w:r>
    </w:p>
    <w:p w:rsidR="00E93A8C" w:rsidRDefault="00E93A8C" w:rsidP="0099159F">
      <w:r w:rsidRPr="00CB0F9E">
        <w:rPr>
          <w:rStyle w:val="proloen2Char"/>
          <w:sz w:val="18"/>
          <w:szCs w:val="18"/>
        </w:rPr>
        <w:t>Starší betony a omítky:</w:t>
      </w:r>
      <w:r>
        <w:t xml:space="preserve"> podklad je třeba zbavit nečistot, prachu, mastnoty a starých nepřilnavých nátěrů oškrábáním a omytím, nerovnosti vyspr</w:t>
      </w:r>
      <w:r>
        <w:t>a</w:t>
      </w:r>
      <w:r>
        <w:t xml:space="preserve">vit pryskyřicovou jemnou omítkou </w:t>
      </w:r>
      <w:r w:rsidRPr="005240A0">
        <w:rPr>
          <w:rStyle w:val="proloenChar"/>
          <w:sz w:val="18"/>
          <w:szCs w:val="18"/>
        </w:rPr>
        <w:t>T/1, T/2</w:t>
      </w:r>
      <w:r>
        <w:t xml:space="preserve"> a spravovaná místa </w:t>
      </w:r>
      <w:proofErr w:type="spellStart"/>
      <w:r>
        <w:t>napenetrovat</w:t>
      </w:r>
      <w:proofErr w:type="spellEnd"/>
      <w:r w:rsidR="00774990">
        <w:t xml:space="preserve"> penetrací</w:t>
      </w:r>
      <w:r>
        <w:t xml:space="preserve"> </w:t>
      </w:r>
      <w:r w:rsidR="00774990">
        <w:t>PEKO</w:t>
      </w:r>
      <w:r>
        <w:t xml:space="preserve">. U totálních vysprávek je nutné před použitím </w:t>
      </w:r>
      <w:proofErr w:type="spellStart"/>
      <w:r>
        <w:t>Fas</w:t>
      </w:r>
      <w:r>
        <w:t>a</w:t>
      </w:r>
      <w:r>
        <w:t>decorr</w:t>
      </w:r>
      <w:proofErr w:type="spellEnd"/>
      <w:r>
        <w:t xml:space="preserve"> opatřit poklad základním nátěrem </w:t>
      </w:r>
      <w:proofErr w:type="spellStart"/>
      <w:r w:rsidRPr="002975D2">
        <w:rPr>
          <w:rStyle w:val="proloenChar"/>
          <w:sz w:val="18"/>
          <w:szCs w:val="18"/>
        </w:rPr>
        <w:t>Penetol</w:t>
      </w:r>
      <w:proofErr w:type="spellEnd"/>
      <w:r>
        <w:t xml:space="preserve"> dle předepsaného ředění.</w:t>
      </w:r>
    </w:p>
    <w:p w:rsidR="00E93A8C" w:rsidRDefault="00E93A8C" w:rsidP="0099159F">
      <w:r w:rsidRPr="00CB0F9E">
        <w:rPr>
          <w:rStyle w:val="proloen2Char"/>
          <w:sz w:val="18"/>
          <w:szCs w:val="18"/>
        </w:rPr>
        <w:t>Disperzní podklady:</w:t>
      </w:r>
      <w:r>
        <w:t xml:space="preserve"> podklad je třeba zbavit nečistot, prachu, mastnoty nepřilnavých částí nátěrů oškrábáním a omytím. Nerovnosti je třeba v</w:t>
      </w:r>
      <w:r>
        <w:t>y</w:t>
      </w:r>
      <w:r>
        <w:t xml:space="preserve">spravit pryskyřicovou jemnou omítkou </w:t>
      </w:r>
      <w:r w:rsidRPr="005240A0">
        <w:rPr>
          <w:rStyle w:val="proloenChar"/>
          <w:sz w:val="18"/>
          <w:szCs w:val="18"/>
        </w:rPr>
        <w:t>T/1, T/2</w:t>
      </w:r>
      <w:r>
        <w:t xml:space="preserve"> a spravovaná místa penetračním </w:t>
      </w:r>
      <w:r w:rsidR="00774990">
        <w:t>prostředkem PEKO</w:t>
      </w:r>
    </w:p>
    <w:p w:rsidR="00E93A8C" w:rsidRDefault="00E93A8C" w:rsidP="0099159F">
      <w:r w:rsidRPr="00CB0F9E">
        <w:rPr>
          <w:rStyle w:val="proloen2Char"/>
          <w:sz w:val="18"/>
          <w:szCs w:val="18"/>
        </w:rPr>
        <w:t>Plynosilikáty a jiné lehčené materiály:</w:t>
      </w:r>
      <w:r>
        <w:t xml:space="preserve"> podklad musí být suchý, zbaven nečistot, prachu a mastnoty oškrábáním a omytím, nerovnosti vyspravit pryskyřicovou jemnou omítkou </w:t>
      </w:r>
      <w:r w:rsidRPr="005240A0">
        <w:rPr>
          <w:rStyle w:val="proloenChar"/>
          <w:sz w:val="18"/>
          <w:szCs w:val="18"/>
        </w:rPr>
        <w:t>T/1, T/2</w:t>
      </w:r>
      <w:r>
        <w:t xml:space="preserve"> a důkladně </w:t>
      </w:r>
      <w:proofErr w:type="spellStart"/>
      <w:r>
        <w:t>napenetrovat</w:t>
      </w:r>
      <w:proofErr w:type="spellEnd"/>
      <w:r w:rsidR="00774990">
        <w:t xml:space="preserve"> penetrací</w:t>
      </w:r>
      <w:r>
        <w:t xml:space="preserve"> </w:t>
      </w:r>
      <w:r w:rsidR="00774990">
        <w:rPr>
          <w:rStyle w:val="proloenChar"/>
          <w:sz w:val="18"/>
          <w:szCs w:val="18"/>
        </w:rPr>
        <w:t>PEKO</w:t>
      </w:r>
      <w:r>
        <w:t xml:space="preserve">. Dále se podklad </w:t>
      </w:r>
      <w:proofErr w:type="spellStart"/>
      <w:r>
        <w:t>přest</w:t>
      </w:r>
      <w:r w:rsidR="00C70659">
        <w:t>ě</w:t>
      </w:r>
      <w:r>
        <w:t>rkuje</w:t>
      </w:r>
      <w:proofErr w:type="spellEnd"/>
      <w:r>
        <w:t xml:space="preserve"> </w:t>
      </w:r>
      <w:proofErr w:type="spellStart"/>
      <w:r w:rsidRPr="002975D2">
        <w:rPr>
          <w:rStyle w:val="proloenChar"/>
          <w:sz w:val="18"/>
          <w:szCs w:val="18"/>
        </w:rPr>
        <w:t>stěrkovací</w:t>
      </w:r>
      <w:proofErr w:type="spellEnd"/>
      <w:r w:rsidRPr="002975D2">
        <w:rPr>
          <w:rStyle w:val="proloenChar"/>
          <w:sz w:val="18"/>
          <w:szCs w:val="18"/>
        </w:rPr>
        <w:t xml:space="preserve"> hmotou 3000 nebo 3010</w:t>
      </w:r>
      <w:r>
        <w:t xml:space="preserve"> od které se vtlačí okamžitě armovací mřížka. Po zatvrdnutí </w:t>
      </w:r>
      <w:proofErr w:type="spellStart"/>
      <w:r>
        <w:t>stěrkovací</w:t>
      </w:r>
      <w:proofErr w:type="spellEnd"/>
      <w:r>
        <w:t xml:space="preserve"> hmoty se povrch </w:t>
      </w:r>
      <w:proofErr w:type="spellStart"/>
      <w:r>
        <w:t>přestěrkuje</w:t>
      </w:r>
      <w:proofErr w:type="spellEnd"/>
      <w:r>
        <w:t xml:space="preserve"> ještě jednou. Po vyzrání stěrky se </w:t>
      </w:r>
      <w:proofErr w:type="spellStart"/>
      <w:r>
        <w:t>napen</w:t>
      </w:r>
      <w:r>
        <w:t>e</w:t>
      </w:r>
      <w:r>
        <w:t>truje</w:t>
      </w:r>
      <w:proofErr w:type="spellEnd"/>
      <w:r w:rsidR="00774990">
        <w:t xml:space="preserve"> penetrací</w:t>
      </w:r>
      <w:r>
        <w:t xml:space="preserve"> </w:t>
      </w:r>
      <w:r w:rsidR="00774990">
        <w:rPr>
          <w:rStyle w:val="proloenChar"/>
          <w:sz w:val="18"/>
          <w:szCs w:val="18"/>
        </w:rPr>
        <w:t>PEKO</w:t>
      </w:r>
      <w:r>
        <w:t>.</w:t>
      </w:r>
    </w:p>
    <w:p w:rsidR="00E93A8C" w:rsidRPr="00E95E98" w:rsidRDefault="00E93A8C" w:rsidP="0099159F">
      <w:r w:rsidRPr="00CB0F9E">
        <w:rPr>
          <w:rStyle w:val="proloen2Char"/>
          <w:sz w:val="18"/>
          <w:szCs w:val="18"/>
        </w:rPr>
        <w:t>Břízolity a minerální dekorativní omítky:</w:t>
      </w:r>
      <w:r>
        <w:t xml:space="preserve"> podklad je třeba zbavit nečistot, prachu, mastnoty. Staré přilnavé části je nutné odstranit, nerovnosti v</w:t>
      </w:r>
      <w:r>
        <w:t>y</w:t>
      </w:r>
      <w:r>
        <w:t xml:space="preserve">spravit daným typem dekorativní omítky nebo břízolitu a </w:t>
      </w:r>
      <w:proofErr w:type="spellStart"/>
      <w:r>
        <w:t>napenetrovat</w:t>
      </w:r>
      <w:proofErr w:type="spellEnd"/>
      <w:r>
        <w:t xml:space="preserve"> penetračním prostředkem </w:t>
      </w:r>
      <w:r w:rsidR="00774990">
        <w:rPr>
          <w:rStyle w:val="proloenChar"/>
          <w:sz w:val="18"/>
          <w:szCs w:val="18"/>
        </w:rPr>
        <w:t>PEKO</w:t>
      </w:r>
      <w:r w:rsidRPr="002975D2">
        <w:rPr>
          <w:rStyle w:val="proloenChar"/>
          <w:sz w:val="18"/>
          <w:szCs w:val="18"/>
        </w:rPr>
        <w:t>.</w:t>
      </w:r>
    </w:p>
    <w:p w:rsidR="00E93A8C" w:rsidRDefault="00E93A8C" w:rsidP="0099159F">
      <w:pPr>
        <w:pStyle w:val="Nadpis3"/>
      </w:pPr>
      <w:r>
        <w:t>Ředění:</w:t>
      </w:r>
    </w:p>
    <w:p w:rsidR="00E93A8C" w:rsidRDefault="00E93A8C" w:rsidP="0099159F">
      <w:r>
        <w:t>Ředění vodou.</w:t>
      </w:r>
    </w:p>
    <w:p w:rsidR="00E93A8C" w:rsidRDefault="00E93A8C" w:rsidP="0099159F">
      <w:r>
        <w:t>1. nátěr</w:t>
      </w:r>
      <w:r>
        <w:tab/>
        <w:t>15-20%</w:t>
      </w:r>
    </w:p>
    <w:p w:rsidR="00E93A8C" w:rsidRDefault="00E93A8C" w:rsidP="0099159F">
      <w:r>
        <w:t>2. nátěr</w:t>
      </w:r>
      <w:r>
        <w:tab/>
        <w:t>5-10%</w:t>
      </w:r>
    </w:p>
    <w:p w:rsidR="00E93A8C" w:rsidRDefault="00E93A8C" w:rsidP="0099159F">
      <w:pPr>
        <w:pStyle w:val="Nadpis3"/>
      </w:pPr>
      <w:r>
        <w:t>Odstín</w:t>
      </w:r>
    </w:p>
    <w:p w:rsidR="00E93A8C" w:rsidRDefault="00E93A8C" w:rsidP="0099159F">
      <w:r>
        <w:t>Bílý + odstíny dle vzorkovníku ALFA od firmy Tomeš výroba stavebních hmot s.r.o.</w:t>
      </w:r>
    </w:p>
    <w:p w:rsidR="00E93A8C" w:rsidRDefault="00E93A8C" w:rsidP="0099159F">
      <w:pPr>
        <w:pStyle w:val="Nadpis3"/>
      </w:pPr>
      <w:r>
        <w:t>Nanášení</w:t>
      </w:r>
    </w:p>
    <w:p w:rsidR="00E93A8C" w:rsidRDefault="00E93A8C" w:rsidP="0099159F">
      <w:r>
        <w:t>Válečkem, štětkou nebo stříkáním</w:t>
      </w:r>
    </w:p>
    <w:p w:rsidR="00E93A8C" w:rsidRDefault="00E93A8C" w:rsidP="0099159F">
      <w:pPr>
        <w:pStyle w:val="Nadpis3"/>
      </w:pPr>
      <w:r>
        <w:t>Upozornění:</w:t>
      </w:r>
    </w:p>
    <w:p w:rsidR="00E93A8C" w:rsidRDefault="00E93A8C" w:rsidP="0099159F">
      <w:proofErr w:type="spellStart"/>
      <w:r>
        <w:t>Fasadecorr</w:t>
      </w:r>
      <w:proofErr w:type="spellEnd"/>
      <w:r>
        <w:t xml:space="preserve"> se nesmí aplikovat za přímého slunečního svitu, vysoké teploty podkladu, deště a silného větru. Zvýšená relativní vlhkost a nízké tepl</w:t>
      </w:r>
      <w:r>
        <w:t>o</w:t>
      </w:r>
      <w:r>
        <w:t>ty mohou zásadním rozdílem ovlivnit dobu zrání</w:t>
      </w:r>
    </w:p>
    <w:p w:rsidR="00E93A8C" w:rsidRDefault="00E93A8C" w:rsidP="00470B07">
      <w:pPr>
        <w:pStyle w:val="Nadpis3"/>
      </w:pPr>
      <w:r>
        <w:t>Příklad nátěrového postupu u staré omítky</w:t>
      </w:r>
    </w:p>
    <w:p w:rsidR="00E93A8C" w:rsidRDefault="00E93A8C" w:rsidP="00470B07">
      <w:r>
        <w:t>1. Odstranění starých nepřilnavých nátěrů a očištění podkladu na mastnoty a nečistot.</w:t>
      </w:r>
    </w:p>
    <w:p w:rsidR="00E93A8C" w:rsidRDefault="00E93A8C" w:rsidP="00470B07">
      <w:r>
        <w:t>2. Větší nerovnosti vyrovnat pryskyřicovou jemnou omítkou T/1, T/2</w:t>
      </w:r>
    </w:p>
    <w:p w:rsidR="00E93A8C" w:rsidRDefault="00C70659" w:rsidP="00470B07">
      <w:r>
        <w:t xml:space="preserve">3. Spravovaná místa </w:t>
      </w:r>
      <w:proofErr w:type="spellStart"/>
      <w:r>
        <w:t>na</w:t>
      </w:r>
      <w:r w:rsidR="00774990">
        <w:t>penetrujeme</w:t>
      </w:r>
      <w:proofErr w:type="spellEnd"/>
      <w:r w:rsidR="00774990">
        <w:t xml:space="preserve"> penetrací PEKO</w:t>
      </w:r>
    </w:p>
    <w:p w:rsidR="00E93A8C" w:rsidRPr="00470B07" w:rsidRDefault="00E93A8C" w:rsidP="00470B07">
      <w:r>
        <w:t xml:space="preserve">4. Po šesti hodinách provedeme dvojnásobný nátěr barvou </w:t>
      </w:r>
      <w:proofErr w:type="spellStart"/>
      <w:r>
        <w:t>Fasedecorr</w:t>
      </w:r>
      <w:proofErr w:type="spellEnd"/>
      <w:r>
        <w:t>. Druhý nátěr se provede nejdříve za šest hodin po předcházejícím nátěru</w:t>
      </w:r>
    </w:p>
    <w:tbl>
      <w:tblPr>
        <w:tblStyle w:val="Mkatabulky"/>
        <w:tblW w:w="9641" w:type="dxa"/>
        <w:tblLook w:val="04A0"/>
      </w:tblPr>
      <w:tblGrid>
        <w:gridCol w:w="4962"/>
        <w:gridCol w:w="2092"/>
        <w:gridCol w:w="1168"/>
        <w:gridCol w:w="1419"/>
      </w:tblGrid>
      <w:tr w:rsidR="00E93A8C" w:rsidRPr="00E0179E" w:rsidTr="00774990">
        <w:tc>
          <w:tcPr>
            <w:tcW w:w="4962" w:type="dxa"/>
          </w:tcPr>
          <w:p w:rsidR="00E93A8C" w:rsidRPr="00E0179E" w:rsidRDefault="00E93A8C" w:rsidP="005240A0">
            <w:pPr>
              <w:pStyle w:val="Nadpis3"/>
              <w:outlineLvl w:val="2"/>
              <w:rPr>
                <w:rFonts w:cs="Times New Roman"/>
              </w:rPr>
            </w:pPr>
            <w:r w:rsidRPr="00E0179E">
              <w:rPr>
                <w:rFonts w:cs="Times New Roman"/>
              </w:rPr>
              <w:t>Parametr</w:t>
            </w:r>
          </w:p>
        </w:tc>
        <w:tc>
          <w:tcPr>
            <w:tcW w:w="2092" w:type="dxa"/>
          </w:tcPr>
          <w:p w:rsidR="00E93A8C" w:rsidRPr="00E0179E" w:rsidRDefault="00E93A8C" w:rsidP="005240A0">
            <w:pPr>
              <w:pStyle w:val="Nadpis3"/>
              <w:outlineLvl w:val="2"/>
              <w:rPr>
                <w:rFonts w:cs="Times New Roman"/>
              </w:rPr>
            </w:pPr>
            <w:r w:rsidRPr="00E0179E">
              <w:rPr>
                <w:rFonts w:cs="Times New Roman"/>
              </w:rPr>
              <w:t>Zkušební postup</w:t>
            </w:r>
          </w:p>
        </w:tc>
        <w:tc>
          <w:tcPr>
            <w:tcW w:w="1168" w:type="dxa"/>
          </w:tcPr>
          <w:p w:rsidR="00E93A8C" w:rsidRPr="00E0179E" w:rsidRDefault="00E93A8C" w:rsidP="005240A0">
            <w:pPr>
              <w:pStyle w:val="Nadpis3"/>
              <w:outlineLvl w:val="2"/>
              <w:rPr>
                <w:rFonts w:cs="Times New Roman"/>
              </w:rPr>
            </w:pPr>
            <w:r w:rsidRPr="00E0179E">
              <w:rPr>
                <w:rFonts w:cs="Times New Roman"/>
              </w:rPr>
              <w:t>Výsledek</w:t>
            </w:r>
          </w:p>
        </w:tc>
        <w:tc>
          <w:tcPr>
            <w:tcW w:w="1419" w:type="dxa"/>
          </w:tcPr>
          <w:p w:rsidR="00E93A8C" w:rsidRPr="00E0179E" w:rsidRDefault="00E93A8C" w:rsidP="005240A0">
            <w:pPr>
              <w:pStyle w:val="Nadpis3"/>
              <w:outlineLvl w:val="2"/>
              <w:rPr>
                <w:rFonts w:cs="Times New Roman"/>
              </w:rPr>
            </w:pPr>
            <w:r w:rsidRPr="00E0179E">
              <w:rPr>
                <w:rFonts w:cs="Times New Roman"/>
              </w:rPr>
              <w:t>Jednotka</w:t>
            </w:r>
          </w:p>
        </w:tc>
      </w:tr>
      <w:tr w:rsidR="00E93A8C" w:rsidRPr="00E0179E" w:rsidTr="00774990">
        <w:tc>
          <w:tcPr>
            <w:tcW w:w="4962" w:type="dxa"/>
          </w:tcPr>
          <w:p w:rsidR="00E93A8C" w:rsidRPr="00E0179E" w:rsidRDefault="00E93A8C" w:rsidP="00E0179E">
            <w:pPr>
              <w:ind w:left="0"/>
            </w:pPr>
            <w:proofErr w:type="spellStart"/>
            <w:r w:rsidRPr="00E0179E">
              <w:t>Paropropustnost</w:t>
            </w:r>
            <w:proofErr w:type="spellEnd"/>
            <w:r w:rsidRPr="00E0179E">
              <w:t xml:space="preserve"> </w:t>
            </w:r>
          </w:p>
        </w:tc>
        <w:tc>
          <w:tcPr>
            <w:tcW w:w="2092" w:type="dxa"/>
          </w:tcPr>
          <w:p w:rsidR="00E93A8C" w:rsidRPr="00E0179E" w:rsidRDefault="00774990" w:rsidP="00E0179E">
            <w:pPr>
              <w:ind w:left="0"/>
            </w:pPr>
            <w:r>
              <w:t>ČSN</w:t>
            </w:r>
            <w:r w:rsidR="00E93A8C" w:rsidRPr="00E0179E">
              <w:t xml:space="preserve"> EN ISO 7783</w:t>
            </w:r>
          </w:p>
        </w:tc>
        <w:tc>
          <w:tcPr>
            <w:tcW w:w="1168" w:type="dxa"/>
          </w:tcPr>
          <w:p w:rsidR="00E93A8C" w:rsidRPr="00E0179E" w:rsidRDefault="00E93A8C" w:rsidP="00E0179E">
            <w:pPr>
              <w:ind w:left="0"/>
            </w:pPr>
            <w:r w:rsidRPr="00E0179E">
              <w:t>0,</w:t>
            </w:r>
            <w:r w:rsidR="00774990">
              <w:t>21</w:t>
            </w:r>
          </w:p>
        </w:tc>
        <w:tc>
          <w:tcPr>
            <w:tcW w:w="1419" w:type="dxa"/>
          </w:tcPr>
          <w:p w:rsidR="00E93A8C" w:rsidRPr="00E0179E" w:rsidRDefault="00E93A8C" w:rsidP="00E0179E">
            <w:pPr>
              <w:ind w:left="0"/>
            </w:pPr>
            <w:r w:rsidRPr="00E0179E">
              <w:t>m</w:t>
            </w:r>
          </w:p>
        </w:tc>
      </w:tr>
      <w:tr w:rsidR="00E93A8C" w:rsidRPr="00E0179E" w:rsidTr="00774990">
        <w:tc>
          <w:tcPr>
            <w:tcW w:w="4962" w:type="dxa"/>
          </w:tcPr>
          <w:p w:rsidR="00E93A8C" w:rsidRPr="00E0179E" w:rsidRDefault="00774990" w:rsidP="00774990">
            <w:pPr>
              <w:ind w:left="0"/>
              <w:rPr>
                <w:vertAlign w:val="subscript"/>
              </w:rPr>
            </w:pPr>
            <w:r>
              <w:t xml:space="preserve">Vodotěsnost na </w:t>
            </w:r>
            <w:proofErr w:type="spellStart"/>
            <w:r>
              <w:t>porobetonu</w:t>
            </w:r>
            <w:proofErr w:type="spellEnd"/>
          </w:p>
        </w:tc>
        <w:tc>
          <w:tcPr>
            <w:tcW w:w="2092" w:type="dxa"/>
          </w:tcPr>
          <w:p w:rsidR="00E93A8C" w:rsidRPr="00E0179E" w:rsidRDefault="00774990" w:rsidP="00774990">
            <w:pPr>
              <w:ind w:left="0"/>
            </w:pPr>
            <w:r>
              <w:t>ČSN 7</w:t>
            </w:r>
            <w:r w:rsidRPr="00E0179E">
              <w:t>3</w:t>
            </w:r>
            <w:r>
              <w:t xml:space="preserve"> 2578</w:t>
            </w:r>
          </w:p>
        </w:tc>
        <w:tc>
          <w:tcPr>
            <w:tcW w:w="1168" w:type="dxa"/>
          </w:tcPr>
          <w:p w:rsidR="00E93A8C" w:rsidRPr="00E0179E" w:rsidRDefault="00E93A8C" w:rsidP="00E0179E">
            <w:pPr>
              <w:ind w:left="0"/>
            </w:pPr>
            <w:r w:rsidRPr="00E0179E">
              <w:t>0,</w:t>
            </w:r>
            <w:r w:rsidR="00CD7135">
              <w:t>68</w:t>
            </w:r>
          </w:p>
        </w:tc>
        <w:tc>
          <w:tcPr>
            <w:tcW w:w="1419" w:type="dxa"/>
          </w:tcPr>
          <w:p w:rsidR="00E93A8C" w:rsidRPr="00E0179E" w:rsidRDefault="00CD7135" w:rsidP="00E0179E">
            <w:pPr>
              <w:ind w:left="0"/>
              <w:rPr>
                <w:vertAlign w:val="superscript"/>
              </w:rPr>
            </w:pPr>
            <w:r>
              <w:t>MPa</w:t>
            </w:r>
          </w:p>
        </w:tc>
      </w:tr>
      <w:tr w:rsidR="00774990" w:rsidTr="00774990">
        <w:tc>
          <w:tcPr>
            <w:tcW w:w="4962" w:type="dxa"/>
          </w:tcPr>
          <w:p w:rsidR="00774990" w:rsidRDefault="00774990" w:rsidP="00774990">
            <w:pPr>
              <w:ind w:left="0"/>
            </w:pPr>
            <w:proofErr w:type="spellStart"/>
            <w:r>
              <w:t>Přídržnost</w:t>
            </w:r>
            <w:proofErr w:type="spellEnd"/>
            <w:r>
              <w:t xml:space="preserve"> k </w:t>
            </w:r>
            <w:proofErr w:type="spellStart"/>
            <w:r>
              <w:t>vápenocementové</w:t>
            </w:r>
            <w:proofErr w:type="spellEnd"/>
            <w:r>
              <w:t xml:space="preserve"> omítce</w:t>
            </w:r>
          </w:p>
        </w:tc>
        <w:tc>
          <w:tcPr>
            <w:tcW w:w="2092" w:type="dxa"/>
          </w:tcPr>
          <w:p w:rsidR="00774990" w:rsidRPr="00774990" w:rsidRDefault="00774990" w:rsidP="00774990">
            <w:pPr>
              <w:ind w:left="0"/>
            </w:pPr>
            <w:r>
              <w:t>ČSN</w:t>
            </w:r>
            <w:r w:rsidRPr="00E0179E">
              <w:t xml:space="preserve"> </w:t>
            </w:r>
            <w:r>
              <w:t>73 2577</w:t>
            </w:r>
          </w:p>
        </w:tc>
        <w:tc>
          <w:tcPr>
            <w:tcW w:w="1168" w:type="dxa"/>
          </w:tcPr>
          <w:p w:rsidR="00774990" w:rsidRDefault="00CD7135" w:rsidP="00774990">
            <w:pPr>
              <w:ind w:left="0"/>
            </w:pPr>
            <w:r>
              <w:t>1,41</w:t>
            </w:r>
          </w:p>
        </w:tc>
        <w:tc>
          <w:tcPr>
            <w:tcW w:w="1419" w:type="dxa"/>
          </w:tcPr>
          <w:p w:rsidR="00774990" w:rsidRDefault="00CD7135" w:rsidP="00774990">
            <w:pPr>
              <w:ind w:left="0"/>
            </w:pPr>
            <w:r>
              <w:t>MPa</w:t>
            </w:r>
          </w:p>
        </w:tc>
      </w:tr>
      <w:tr w:rsidR="00774990" w:rsidTr="00774990">
        <w:tc>
          <w:tcPr>
            <w:tcW w:w="4962" w:type="dxa"/>
          </w:tcPr>
          <w:p w:rsidR="00774990" w:rsidRDefault="00774990" w:rsidP="00774990">
            <w:pPr>
              <w:ind w:left="0"/>
            </w:pPr>
            <w:r>
              <w:t>Mrazuvzdornost na betonu po 25 cyklech</w:t>
            </w:r>
          </w:p>
        </w:tc>
        <w:tc>
          <w:tcPr>
            <w:tcW w:w="2092" w:type="dxa"/>
          </w:tcPr>
          <w:p w:rsidR="00774990" w:rsidRDefault="00774990" w:rsidP="00774990">
            <w:pPr>
              <w:ind w:left="0"/>
            </w:pPr>
            <w:r>
              <w:t>ČSN</w:t>
            </w:r>
            <w:r w:rsidRPr="00E0179E">
              <w:t xml:space="preserve"> </w:t>
            </w:r>
            <w:r>
              <w:t>73 2577</w:t>
            </w:r>
          </w:p>
        </w:tc>
        <w:tc>
          <w:tcPr>
            <w:tcW w:w="1168" w:type="dxa"/>
          </w:tcPr>
          <w:p w:rsidR="00774990" w:rsidRDefault="00CD7135" w:rsidP="00774990">
            <w:pPr>
              <w:ind w:left="0"/>
            </w:pPr>
            <w:r>
              <w:t>0,34</w:t>
            </w:r>
          </w:p>
        </w:tc>
        <w:tc>
          <w:tcPr>
            <w:tcW w:w="1419" w:type="dxa"/>
          </w:tcPr>
          <w:p w:rsidR="00774990" w:rsidRPr="00CD7135" w:rsidRDefault="00CD7135" w:rsidP="00774990">
            <w:pPr>
              <w:ind w:left="0"/>
              <w:rPr>
                <w:vertAlign w:val="superscript"/>
              </w:rPr>
            </w:pPr>
            <w:r>
              <w:t>l/m</w:t>
            </w:r>
            <w:r>
              <w:rPr>
                <w:vertAlign w:val="superscript"/>
              </w:rPr>
              <w:t>2</w:t>
            </w:r>
          </w:p>
        </w:tc>
      </w:tr>
      <w:tr w:rsidR="00774990" w:rsidTr="00774990">
        <w:tc>
          <w:tcPr>
            <w:tcW w:w="4962" w:type="dxa"/>
          </w:tcPr>
          <w:p w:rsidR="00774990" w:rsidRDefault="00774990" w:rsidP="00774990">
            <w:pPr>
              <w:ind w:left="0"/>
            </w:pPr>
            <w:proofErr w:type="spellStart"/>
            <w:r>
              <w:t>Přídržnost</w:t>
            </w:r>
            <w:proofErr w:type="spellEnd"/>
            <w:r>
              <w:t xml:space="preserve"> k betonu</w:t>
            </w:r>
          </w:p>
        </w:tc>
        <w:tc>
          <w:tcPr>
            <w:tcW w:w="2092" w:type="dxa"/>
          </w:tcPr>
          <w:p w:rsidR="00774990" w:rsidRDefault="00774990" w:rsidP="00774990">
            <w:pPr>
              <w:ind w:left="0"/>
            </w:pPr>
            <w:r>
              <w:t>ČSN</w:t>
            </w:r>
            <w:r w:rsidRPr="00E0179E">
              <w:t xml:space="preserve"> </w:t>
            </w:r>
            <w:r>
              <w:t>73 25 77</w:t>
            </w:r>
          </w:p>
        </w:tc>
        <w:tc>
          <w:tcPr>
            <w:tcW w:w="1168" w:type="dxa"/>
          </w:tcPr>
          <w:p w:rsidR="00774990" w:rsidRDefault="00CD7135" w:rsidP="00774990">
            <w:pPr>
              <w:ind w:left="0"/>
            </w:pPr>
            <w:r>
              <w:t>0,94</w:t>
            </w:r>
          </w:p>
        </w:tc>
        <w:tc>
          <w:tcPr>
            <w:tcW w:w="1419" w:type="dxa"/>
          </w:tcPr>
          <w:p w:rsidR="00774990" w:rsidRDefault="00CD7135" w:rsidP="00774990">
            <w:pPr>
              <w:ind w:left="0"/>
            </w:pPr>
            <w:r>
              <w:t>MPa</w:t>
            </w:r>
          </w:p>
        </w:tc>
      </w:tr>
    </w:tbl>
    <w:p w:rsidR="00774990" w:rsidRDefault="00774990" w:rsidP="00A47C3C">
      <w:pPr>
        <w:pStyle w:val="Nadpis3"/>
      </w:pPr>
    </w:p>
    <w:p w:rsidR="00E93A8C" w:rsidRDefault="00E93A8C" w:rsidP="00A47C3C">
      <w:pPr>
        <w:pStyle w:val="Nadpis3"/>
      </w:pPr>
      <w:r>
        <w:t>Spotřeba</w:t>
      </w:r>
    </w:p>
    <w:p w:rsidR="00E93A8C" w:rsidRDefault="00E93A8C" w:rsidP="00A47C3C">
      <w:r>
        <w:t>0,2-0,25 kg/m</w:t>
      </w:r>
      <w:r>
        <w:rPr>
          <w:vertAlign w:val="superscript"/>
        </w:rPr>
        <w:t>2</w:t>
      </w:r>
      <w:r>
        <w:t xml:space="preserve"> při 2 nátěrech na hladký povrch</w:t>
      </w:r>
    </w:p>
    <w:p w:rsidR="00E93A8C" w:rsidRDefault="00E93A8C" w:rsidP="00A47C3C">
      <w:pPr>
        <w:pStyle w:val="Nadpis3"/>
      </w:pPr>
      <w:r>
        <w:t>Doba zasychání</w:t>
      </w:r>
    </w:p>
    <w:p w:rsidR="00E93A8C" w:rsidRDefault="00E93A8C" w:rsidP="00A47C3C">
      <w:r>
        <w:t>6-12 hodin v závislosti na teplotě a vlhkosti vzduchu</w:t>
      </w:r>
    </w:p>
    <w:p w:rsidR="00E93A8C" w:rsidRDefault="00E93A8C" w:rsidP="00A47C3C">
      <w:pPr>
        <w:pStyle w:val="Nadpis3"/>
      </w:pPr>
      <w:r>
        <w:t>Hustota</w:t>
      </w:r>
    </w:p>
    <w:p w:rsidR="00E93A8C" w:rsidRDefault="00E93A8C" w:rsidP="00A47C3C">
      <w:pPr>
        <w:rPr>
          <w:vertAlign w:val="superscript"/>
        </w:rPr>
      </w:pPr>
      <w:r>
        <w:t>1,45 – 1,55 g/cm</w:t>
      </w:r>
      <w:r>
        <w:rPr>
          <w:vertAlign w:val="superscript"/>
        </w:rPr>
        <w:t>3</w:t>
      </w:r>
    </w:p>
    <w:p w:rsidR="00E93A8C" w:rsidRDefault="00E93A8C" w:rsidP="00A07219">
      <w:pPr>
        <w:pStyle w:val="Nadpis3"/>
      </w:pPr>
      <w:r>
        <w:t>Bělost:</w:t>
      </w:r>
    </w:p>
    <w:p w:rsidR="00E93A8C" w:rsidRPr="00A07219" w:rsidRDefault="00E93A8C" w:rsidP="00A07219">
      <w:r>
        <w:t>Bělost 92-95%</w:t>
      </w:r>
    </w:p>
    <w:p w:rsidR="00E93A8C" w:rsidRDefault="00E93A8C" w:rsidP="00A07219">
      <w:pPr>
        <w:pStyle w:val="Nadpis3"/>
      </w:pPr>
      <w:r>
        <w:t>Pracovní teplota</w:t>
      </w:r>
    </w:p>
    <w:p w:rsidR="00E93A8C" w:rsidRDefault="00E93A8C" w:rsidP="00A07219">
      <w:r>
        <w:t>+5°C až 25°C pro podklad i vzduch</w:t>
      </w:r>
    </w:p>
    <w:p w:rsidR="00E93A8C" w:rsidRDefault="00E93A8C" w:rsidP="00A07219">
      <w:pPr>
        <w:pStyle w:val="Nadpis3"/>
      </w:pPr>
      <w:r>
        <w:t>Balení</w:t>
      </w:r>
    </w:p>
    <w:p w:rsidR="00E93A8C" w:rsidRDefault="00E93A8C" w:rsidP="00A07219">
      <w:r>
        <w:t>Plastové kbelíky á 5, 15, 25 kg</w:t>
      </w:r>
    </w:p>
    <w:p w:rsidR="00E93A8C" w:rsidRDefault="00E93A8C" w:rsidP="00A07219">
      <w:pPr>
        <w:pStyle w:val="Nadpis3"/>
      </w:pPr>
      <w:r>
        <w:t>Skladování</w:t>
      </w:r>
    </w:p>
    <w:p w:rsidR="00E93A8C" w:rsidRDefault="00E93A8C" w:rsidP="00A07219">
      <w:r>
        <w:t>24 měsíců v uzavřených nádobách v chladném prostředí, ale nad bodem mrazu. Nesmí přemrznout</w:t>
      </w:r>
    </w:p>
    <w:p w:rsidR="00E93A8C" w:rsidRDefault="00E93A8C" w:rsidP="00A07219">
      <w:pPr>
        <w:pStyle w:val="Nadpis3"/>
      </w:pPr>
      <w:r>
        <w:t>Bezpečnost a hygiena práce</w:t>
      </w:r>
    </w:p>
    <w:p w:rsidR="00E93A8C" w:rsidRPr="00A07219" w:rsidRDefault="00E93A8C" w:rsidP="00A07219">
      <w:r>
        <w:t>Při práci chraňte pokožku rukavicemi, nejezte, nepijte, nekuřte. Po práci omyjte ruce vodou a ošetřete regeneračním krémem. Při zasažení očí v</w:t>
      </w:r>
      <w:r>
        <w:t>y</w:t>
      </w:r>
      <w:r>
        <w:t>plachujte proudem vody po dobu asi 10 minut. Vyhledejte lékařskou pomoc. Uchovávejte mimo dosah dětí</w:t>
      </w:r>
    </w:p>
    <w:sectPr w:rsidR="00E93A8C" w:rsidRPr="00A07219" w:rsidSect="005240A0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36" w:rsidRDefault="00B27836" w:rsidP="005240A0">
      <w:r>
        <w:separator/>
      </w:r>
    </w:p>
  </w:endnote>
  <w:endnote w:type="continuationSeparator" w:id="0">
    <w:p w:rsidR="00B27836" w:rsidRDefault="00B27836" w:rsidP="0052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36" w:rsidRDefault="00B27836" w:rsidP="005240A0">
      <w:r>
        <w:separator/>
      </w:r>
    </w:p>
  </w:footnote>
  <w:footnote w:type="continuationSeparator" w:id="0">
    <w:p w:rsidR="00B27836" w:rsidRDefault="00B27836" w:rsidP="00524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3F6C"/>
    <w:multiLevelType w:val="hybridMultilevel"/>
    <w:tmpl w:val="FF40C332"/>
    <w:lvl w:ilvl="0" w:tplc="D46CA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1224E9"/>
    <w:multiLevelType w:val="hybridMultilevel"/>
    <w:tmpl w:val="02C811E4"/>
    <w:lvl w:ilvl="0" w:tplc="604E0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14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26141"/>
    <w:rsid w:val="00093A63"/>
    <w:rsid w:val="00105785"/>
    <w:rsid w:val="00112BDD"/>
    <w:rsid w:val="00160F82"/>
    <w:rsid w:val="002975D2"/>
    <w:rsid w:val="003A183A"/>
    <w:rsid w:val="003A4472"/>
    <w:rsid w:val="003D28C2"/>
    <w:rsid w:val="00470B07"/>
    <w:rsid w:val="004C5BCB"/>
    <w:rsid w:val="005221DC"/>
    <w:rsid w:val="005240A0"/>
    <w:rsid w:val="0059067C"/>
    <w:rsid w:val="00626141"/>
    <w:rsid w:val="00747B64"/>
    <w:rsid w:val="00774990"/>
    <w:rsid w:val="00817BEE"/>
    <w:rsid w:val="00847A31"/>
    <w:rsid w:val="00854953"/>
    <w:rsid w:val="008758FA"/>
    <w:rsid w:val="008E717E"/>
    <w:rsid w:val="0099159F"/>
    <w:rsid w:val="009C0CEE"/>
    <w:rsid w:val="009E10C2"/>
    <w:rsid w:val="00A07219"/>
    <w:rsid w:val="00A47C3C"/>
    <w:rsid w:val="00A71491"/>
    <w:rsid w:val="00A905BC"/>
    <w:rsid w:val="00B27836"/>
    <w:rsid w:val="00C24F93"/>
    <w:rsid w:val="00C2785F"/>
    <w:rsid w:val="00C65192"/>
    <w:rsid w:val="00C70659"/>
    <w:rsid w:val="00CA3960"/>
    <w:rsid w:val="00CB0F9E"/>
    <w:rsid w:val="00CC053A"/>
    <w:rsid w:val="00CD7135"/>
    <w:rsid w:val="00E0179E"/>
    <w:rsid w:val="00E93A8C"/>
    <w:rsid w:val="00E95E98"/>
    <w:rsid w:val="00EB25F6"/>
    <w:rsid w:val="00F4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990"/>
    <w:pPr>
      <w:ind w:left="284"/>
    </w:pPr>
    <w:rPr>
      <w:rFonts w:ascii="Palatino Linotype" w:hAnsi="Palatino Linotype" w:cs="Palatino Linotype"/>
      <w:sz w:val="16"/>
      <w:szCs w:val="16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240A0"/>
    <w:pPr>
      <w:keepNext/>
      <w:keepLines/>
      <w:pBdr>
        <w:bottom w:val="single" w:sz="4" w:space="1" w:color="auto"/>
      </w:pBdr>
      <w:spacing w:before="360"/>
      <w:ind w:left="0"/>
      <w:outlineLvl w:val="1"/>
    </w:pPr>
    <w:rPr>
      <w:rFonts w:eastAsia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A0"/>
    <w:pPr>
      <w:keepNext/>
      <w:keepLines/>
      <w:ind w:left="0"/>
      <w:outlineLvl w:val="2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240A0"/>
    <w:rPr>
      <w:rFonts w:ascii="Palatino Linotype" w:hAnsi="Palatino Linotype" w:cs="Palatino Linotype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5240A0"/>
    <w:rPr>
      <w:rFonts w:ascii="Palatino Linotype" w:hAnsi="Palatino Linotype" w:cs="Palatino Linotype"/>
      <w:b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847A3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847A3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847A31"/>
    <w:pPr>
      <w:numPr>
        <w:ilvl w:val="1"/>
      </w:numPr>
      <w:ind w:left="284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847A3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Zvraznn">
    <w:name w:val="Emphasis"/>
    <w:basedOn w:val="Standardnpsmoodstavce"/>
    <w:uiPriority w:val="99"/>
    <w:qFormat/>
    <w:rsid w:val="00847A31"/>
    <w:rPr>
      <w:i/>
      <w:iCs/>
    </w:rPr>
  </w:style>
  <w:style w:type="paragraph" w:styleId="Bezmezer">
    <w:name w:val="No Spacing"/>
    <w:uiPriority w:val="99"/>
    <w:qFormat/>
    <w:rsid w:val="00847A31"/>
    <w:rPr>
      <w:rFonts w:cs="Calibri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99"/>
    <w:qFormat/>
    <w:rsid w:val="00847A31"/>
    <w:rPr>
      <w:i/>
      <w:iCs/>
      <w:color w:val="808080"/>
    </w:rPr>
  </w:style>
  <w:style w:type="paragraph" w:customStyle="1" w:styleId="proloen">
    <w:name w:val="proložení"/>
    <w:basedOn w:val="Normln"/>
    <w:link w:val="proloenChar"/>
    <w:uiPriority w:val="99"/>
    <w:rsid w:val="0099159F"/>
    <w:rPr>
      <w:rFonts w:eastAsia="Times New Roman"/>
      <w:i/>
      <w:iCs/>
      <w:sz w:val="18"/>
      <w:szCs w:val="18"/>
      <w:lang w:eastAsia="cs-CZ"/>
    </w:rPr>
  </w:style>
  <w:style w:type="character" w:customStyle="1" w:styleId="proloenChar">
    <w:name w:val="proložení Char"/>
    <w:basedOn w:val="Standardnpsmoodstavce"/>
    <w:link w:val="proloen"/>
    <w:uiPriority w:val="99"/>
    <w:rsid w:val="0099159F"/>
    <w:rPr>
      <w:rFonts w:ascii="Palatino Linotype" w:hAnsi="Palatino Linotype" w:cs="Palatino Linotype"/>
      <w:i/>
      <w:iCs/>
      <w:sz w:val="24"/>
      <w:szCs w:val="24"/>
      <w:lang w:eastAsia="cs-CZ"/>
    </w:rPr>
  </w:style>
  <w:style w:type="paragraph" w:customStyle="1" w:styleId="proloen2">
    <w:name w:val="proložení 2"/>
    <w:basedOn w:val="proloen"/>
    <w:link w:val="proloen2Char"/>
    <w:uiPriority w:val="99"/>
    <w:rsid w:val="0099159F"/>
    <w:pPr>
      <w:ind w:left="0"/>
    </w:pPr>
  </w:style>
  <w:style w:type="character" w:customStyle="1" w:styleId="proloen2Char">
    <w:name w:val="proložení 2 Char"/>
    <w:basedOn w:val="proloenChar"/>
    <w:link w:val="proloen2"/>
    <w:uiPriority w:val="99"/>
    <w:rsid w:val="0099159F"/>
  </w:style>
  <w:style w:type="paragraph" w:styleId="Odstavecseseznamem">
    <w:name w:val="List Paragraph"/>
    <w:basedOn w:val="Normln"/>
    <w:uiPriority w:val="99"/>
    <w:qFormat/>
    <w:rsid w:val="0099159F"/>
    <w:pPr>
      <w:ind w:left="720"/>
      <w:contextualSpacing/>
    </w:pPr>
  </w:style>
  <w:style w:type="table" w:styleId="Mkatabulky">
    <w:name w:val="Table Grid"/>
    <w:basedOn w:val="Normlntabulka"/>
    <w:uiPriority w:val="99"/>
    <w:rsid w:val="00A47C3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52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40A0"/>
    <w:rPr>
      <w:rFonts w:ascii="Palatino Linotype" w:hAnsi="Palatino Linotype" w:cs="Palatino Linotype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rsid w:val="0052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40A0"/>
    <w:rPr>
      <w:rFonts w:ascii="Palatino Linotype" w:hAnsi="Palatino Linotype" w:cs="Palatino Linotype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747B64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75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2012-02-04T12:56:00Z</cp:lastPrinted>
  <dcterms:created xsi:type="dcterms:W3CDTF">2017-03-08T09:18:00Z</dcterms:created>
  <dcterms:modified xsi:type="dcterms:W3CDTF">2017-03-08T09:18:00Z</dcterms:modified>
</cp:coreProperties>
</file>